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4" w:rsidRPr="00EA4AE0" w:rsidRDefault="00ED0D34" w:rsidP="00EA4A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4AE0">
        <w:rPr>
          <w:rFonts w:ascii="Arial" w:hAnsi="Arial" w:cs="Arial"/>
          <w:b/>
          <w:sz w:val="24"/>
          <w:szCs w:val="24"/>
        </w:rPr>
        <w:t>Załącznik nr 1 do umowy</w:t>
      </w:r>
    </w:p>
    <w:p w:rsidR="00ED0D34" w:rsidRPr="00EA4AE0" w:rsidRDefault="00ED0D34" w:rsidP="00EA4A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D0D34" w:rsidRPr="00EA4AE0" w:rsidRDefault="00ED0D34" w:rsidP="00EA4AE0">
      <w:pPr>
        <w:spacing w:line="360" w:lineRule="auto"/>
        <w:rPr>
          <w:rFonts w:ascii="Arial" w:hAnsi="Arial" w:cs="Arial"/>
          <w:sz w:val="24"/>
          <w:szCs w:val="24"/>
        </w:rPr>
      </w:pPr>
      <w:r w:rsidRPr="00EA4AE0">
        <w:rPr>
          <w:rFonts w:ascii="Arial" w:hAnsi="Arial" w:cs="Arial"/>
          <w:sz w:val="24"/>
          <w:szCs w:val="24"/>
        </w:rPr>
        <w:t xml:space="preserve">- wykonanie kontroli technicznej sprawności przewodów kominowych  </w:t>
      </w:r>
    </w:p>
    <w:p w:rsidR="00ED0D34" w:rsidRPr="00EA4AE0" w:rsidRDefault="00ED0D34" w:rsidP="00EA4AE0">
      <w:pPr>
        <w:spacing w:line="360" w:lineRule="auto"/>
        <w:rPr>
          <w:rFonts w:ascii="Arial" w:hAnsi="Arial" w:cs="Arial"/>
          <w:sz w:val="24"/>
          <w:szCs w:val="24"/>
        </w:rPr>
      </w:pPr>
      <w:r w:rsidRPr="00EA4AE0">
        <w:rPr>
          <w:rFonts w:ascii="Arial" w:hAnsi="Arial" w:cs="Arial"/>
          <w:sz w:val="24"/>
          <w:szCs w:val="24"/>
        </w:rPr>
        <w:t xml:space="preserve">(dymowych, spalinowych, wentylacyjnych) </w:t>
      </w:r>
    </w:p>
    <w:p w:rsidR="00ED0D34" w:rsidRPr="00EA4AE0" w:rsidRDefault="00ED0D34" w:rsidP="00EA4AE0">
      <w:pPr>
        <w:spacing w:line="360" w:lineRule="auto"/>
        <w:rPr>
          <w:rFonts w:ascii="Arial" w:hAnsi="Arial" w:cs="Arial"/>
          <w:sz w:val="24"/>
          <w:szCs w:val="24"/>
        </w:rPr>
      </w:pPr>
      <w:r w:rsidRPr="00EA4AE0">
        <w:rPr>
          <w:rFonts w:ascii="Arial" w:hAnsi="Arial" w:cs="Arial"/>
          <w:sz w:val="24"/>
          <w:szCs w:val="24"/>
        </w:rPr>
        <w:t>- sprawdzanie prawidłowości podłączeń do przewodów kominowych urządzeń grzewczych i wentylacyjnych,</w:t>
      </w:r>
    </w:p>
    <w:p w:rsidR="00ED0D34" w:rsidRPr="00EA4AE0" w:rsidRDefault="00ED0D34" w:rsidP="00EA4AE0">
      <w:pPr>
        <w:spacing w:line="360" w:lineRule="auto"/>
        <w:rPr>
          <w:rFonts w:ascii="Arial" w:hAnsi="Arial" w:cs="Arial"/>
          <w:sz w:val="24"/>
          <w:szCs w:val="24"/>
        </w:rPr>
      </w:pPr>
      <w:r w:rsidRPr="00EA4AE0">
        <w:rPr>
          <w:rFonts w:ascii="Arial" w:hAnsi="Arial" w:cs="Arial"/>
          <w:sz w:val="24"/>
          <w:szCs w:val="24"/>
        </w:rPr>
        <w:t>- czyszczenie przewodów spalinowych, dymowych, wentylacyjnych,</w:t>
      </w:r>
    </w:p>
    <w:p w:rsidR="00ED0D34" w:rsidRPr="00EA4AE0" w:rsidRDefault="00ED0D34" w:rsidP="00EA4AE0">
      <w:pPr>
        <w:spacing w:line="360" w:lineRule="auto"/>
        <w:rPr>
          <w:rFonts w:ascii="Arial" w:hAnsi="Arial" w:cs="Arial"/>
          <w:sz w:val="24"/>
          <w:szCs w:val="24"/>
        </w:rPr>
      </w:pPr>
      <w:r w:rsidRPr="00EA4AE0">
        <w:rPr>
          <w:rFonts w:ascii="Arial" w:hAnsi="Arial" w:cs="Arial"/>
          <w:sz w:val="24"/>
          <w:szCs w:val="24"/>
        </w:rPr>
        <w:t>- udrażnianie przewodów.</w:t>
      </w:r>
    </w:p>
    <w:p w:rsidR="00ED0D34" w:rsidRPr="00EA4AE0" w:rsidRDefault="00ED0D34" w:rsidP="00EA4AE0">
      <w:pPr>
        <w:spacing w:line="360" w:lineRule="auto"/>
        <w:rPr>
          <w:rFonts w:ascii="Arial" w:hAnsi="Arial" w:cs="Arial"/>
          <w:sz w:val="24"/>
          <w:szCs w:val="24"/>
        </w:rPr>
      </w:pPr>
      <w:r w:rsidRPr="00EA4AE0">
        <w:rPr>
          <w:rFonts w:ascii="Arial" w:hAnsi="Arial" w:cs="Arial"/>
          <w:sz w:val="24"/>
          <w:szCs w:val="24"/>
        </w:rPr>
        <w:t>Wykaz przeglądów (kontroli na 1 rok)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5"/>
        <w:gridCol w:w="1399"/>
        <w:gridCol w:w="1570"/>
        <w:gridCol w:w="1838"/>
      </w:tblGrid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b/>
                <w:sz w:val="24"/>
                <w:szCs w:val="24"/>
              </w:rPr>
            </w:pPr>
            <w:r w:rsidRPr="00620FA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b/>
                <w:sz w:val="24"/>
                <w:szCs w:val="24"/>
              </w:rPr>
            </w:pPr>
            <w:r w:rsidRPr="00620FA8">
              <w:rPr>
                <w:b/>
                <w:sz w:val="24"/>
                <w:szCs w:val="24"/>
              </w:rPr>
              <w:t>Asortyment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rPr>
                <w:b/>
                <w:sz w:val="24"/>
                <w:szCs w:val="24"/>
              </w:rPr>
            </w:pPr>
            <w:r w:rsidRPr="00620FA8">
              <w:rPr>
                <w:b/>
                <w:sz w:val="24"/>
                <w:szCs w:val="24"/>
              </w:rPr>
              <w:t>Ilość kontroli w roku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rPr>
                <w:b/>
                <w:sz w:val="24"/>
                <w:szCs w:val="24"/>
              </w:rPr>
            </w:pPr>
            <w:r w:rsidRPr="00620FA8">
              <w:rPr>
                <w:b/>
                <w:sz w:val="24"/>
                <w:szCs w:val="24"/>
              </w:rPr>
              <w:t>Ilość połączeń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rPr>
                <w:b/>
                <w:sz w:val="24"/>
                <w:szCs w:val="24"/>
              </w:rPr>
            </w:pPr>
            <w:r w:rsidRPr="00620FA8">
              <w:rPr>
                <w:b/>
                <w:sz w:val="24"/>
                <w:szCs w:val="24"/>
              </w:rPr>
              <w:t>Ilość mb kanałów grawitacyjnych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M 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430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M 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bookmarkStart w:id="0" w:name="_Hlk433712278"/>
            <w:r w:rsidRPr="00620FA8">
              <w:rPr>
                <w:sz w:val="24"/>
                <w:szCs w:val="24"/>
              </w:rPr>
              <w:t>Pawilon</w:t>
            </w:r>
            <w:bookmarkEnd w:id="0"/>
            <w:r>
              <w:rPr>
                <w:sz w:val="24"/>
                <w:szCs w:val="24"/>
              </w:rPr>
              <w:t xml:space="preserve"> M III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M IV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M V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6308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M VI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M VII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 M VIII + przewiązka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M IX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146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120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26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IV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51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250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V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33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130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VI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211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792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VII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36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320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A VIII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-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Pawilon T </w:t>
            </w:r>
            <w:r w:rsidRPr="00620FA8">
              <w:rPr>
                <w:sz w:val="24"/>
                <w:szCs w:val="24"/>
              </w:rPr>
              <w:t>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4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II</w:t>
            </w:r>
            <w:r w:rsidRPr="00620FA8">
              <w:rPr>
                <w:sz w:val="24"/>
                <w:szCs w:val="24"/>
              </w:rPr>
              <w:t>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V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6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VI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VII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 xml:space="preserve">Pawilon T </w:t>
            </w:r>
            <w:r>
              <w:rPr>
                <w:sz w:val="24"/>
                <w:szCs w:val="24"/>
              </w:rPr>
              <w:t>V</w:t>
            </w:r>
            <w:r w:rsidRPr="00620FA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IX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Pawilon T X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30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XI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0D34" w:rsidRPr="00620FA8" w:rsidTr="00791EC0">
        <w:tc>
          <w:tcPr>
            <w:tcW w:w="570" w:type="dxa"/>
            <w:shd w:val="clear" w:color="auto" w:fill="auto"/>
          </w:tcPr>
          <w:p w:rsidR="00ED0D34" w:rsidRPr="00620FA8" w:rsidRDefault="00ED0D34" w:rsidP="00791EC0">
            <w:pPr>
              <w:rPr>
                <w:sz w:val="24"/>
                <w:szCs w:val="24"/>
              </w:rPr>
            </w:pPr>
            <w:r w:rsidRPr="00620FA8"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  <w:shd w:val="clear" w:color="auto" w:fill="auto"/>
          </w:tcPr>
          <w:p w:rsidR="00ED0D34" w:rsidRDefault="00ED0D34" w:rsidP="0079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Pawilon T XII</w:t>
            </w:r>
          </w:p>
        </w:tc>
        <w:tc>
          <w:tcPr>
            <w:tcW w:w="1399" w:type="dxa"/>
            <w:shd w:val="clear" w:color="auto" w:fill="auto"/>
          </w:tcPr>
          <w:p w:rsidR="00ED0D34" w:rsidRPr="00620FA8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ED0D34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ED0D34" w:rsidRDefault="00ED0D34" w:rsidP="00791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D0D34" w:rsidRDefault="00ED0D34" w:rsidP="00ED0D34">
      <w:pPr>
        <w:rPr>
          <w:sz w:val="24"/>
          <w:szCs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A4AE0" w:rsidRDefault="00EA4AE0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lastRenderedPageBreak/>
        <w:t xml:space="preserve">Cena została wyliczona następująco: </w:t>
      </w:r>
    </w:p>
    <w:p w:rsidR="00ED0D34" w:rsidRPr="00F25770" w:rsidRDefault="00ED0D34" w:rsidP="00ED0D34">
      <w:pPr>
        <w:pStyle w:val="StandardowyStandardowy12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Suma mb przewodów do przeglądu w ciągu 2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73"/>
        <w:gridCol w:w="1430"/>
        <w:gridCol w:w="1372"/>
        <w:gridCol w:w="1474"/>
      </w:tblGrid>
      <w:tr w:rsidR="00ED0D34" w:rsidTr="00791EC0">
        <w:tc>
          <w:tcPr>
            <w:tcW w:w="543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2973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Suma mb przewodów do przeglądu w ciągu 2 lat</w:t>
            </w:r>
          </w:p>
        </w:tc>
        <w:tc>
          <w:tcPr>
            <w:tcW w:w="1430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jednostkowa netto</w:t>
            </w:r>
          </w:p>
        </w:tc>
        <w:tc>
          <w:tcPr>
            <w:tcW w:w="1372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Wartość netto</w:t>
            </w:r>
          </w:p>
        </w:tc>
        <w:tc>
          <w:tcPr>
            <w:tcW w:w="1474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Wartość brutto</w:t>
            </w:r>
          </w:p>
        </w:tc>
      </w:tr>
      <w:tr w:rsidR="00ED0D34" w:rsidTr="00791EC0">
        <w:tc>
          <w:tcPr>
            <w:tcW w:w="543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3" w:type="dxa"/>
          </w:tcPr>
          <w:p w:rsidR="00ED0D34" w:rsidRDefault="00ED0D34" w:rsidP="00ED0D34">
            <w:pPr>
              <w:pStyle w:val="StandardowyStandardowy12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910mb przewodów</w:t>
            </w:r>
          </w:p>
        </w:tc>
        <w:tc>
          <w:tcPr>
            <w:tcW w:w="1430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2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D0D34" w:rsidRDefault="00ED0D34" w:rsidP="00ED0D34">
      <w:pPr>
        <w:pStyle w:val="StandardowyStandardowy12"/>
        <w:ind w:left="720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ind w:left="720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Suma połączeń do przeglądu w ciągu 2 lat</w:t>
      </w:r>
    </w:p>
    <w:tbl>
      <w:tblPr>
        <w:tblStyle w:val="Tabela-Siatka"/>
        <w:tblW w:w="7795" w:type="dxa"/>
        <w:tblLook w:val="04A0" w:firstRow="1" w:lastRow="0" w:firstColumn="1" w:lastColumn="0" w:noHBand="0" w:noVBand="1"/>
      </w:tblPr>
      <w:tblGrid>
        <w:gridCol w:w="543"/>
        <w:gridCol w:w="2989"/>
        <w:gridCol w:w="1430"/>
        <w:gridCol w:w="1416"/>
        <w:gridCol w:w="1417"/>
      </w:tblGrid>
      <w:tr w:rsidR="00ED0D34" w:rsidTr="00791EC0">
        <w:tc>
          <w:tcPr>
            <w:tcW w:w="543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2989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Suma połączeń do przeglądu w ciągu 2 lat</w:t>
            </w:r>
          </w:p>
        </w:tc>
        <w:tc>
          <w:tcPr>
            <w:tcW w:w="1430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jednostkowa netto</w:t>
            </w:r>
          </w:p>
        </w:tc>
        <w:tc>
          <w:tcPr>
            <w:tcW w:w="1416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Wartość netto</w:t>
            </w:r>
          </w:p>
        </w:tc>
        <w:tc>
          <w:tcPr>
            <w:tcW w:w="1417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Wartość brutto</w:t>
            </w:r>
          </w:p>
        </w:tc>
      </w:tr>
      <w:tr w:rsidR="00ED0D34" w:rsidTr="00791EC0">
        <w:tc>
          <w:tcPr>
            <w:tcW w:w="543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89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5 450 połączeń</w:t>
            </w:r>
          </w:p>
        </w:tc>
        <w:tc>
          <w:tcPr>
            <w:tcW w:w="1430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ED0D34" w:rsidRDefault="00ED0D34" w:rsidP="00791EC0">
            <w:pPr>
              <w:pStyle w:val="StandardowyStandardowy12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</w:p>
    <w:p w:rsidR="00ED0D34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Wartość zamówienia na dwa lata – </w:t>
      </w:r>
      <w:r>
        <w:rPr>
          <w:rFonts w:ascii="Times New Roman" w:hAnsi="Times New Roman"/>
          <w:b/>
          <w:sz w:val="24"/>
        </w:rPr>
        <w:t>………………..</w:t>
      </w:r>
      <w:r w:rsidRPr="004A4F5B">
        <w:rPr>
          <w:rFonts w:ascii="Times New Roman" w:hAnsi="Times New Roman"/>
          <w:b/>
          <w:sz w:val="24"/>
        </w:rPr>
        <w:t xml:space="preserve"> zł brutto</w:t>
      </w:r>
    </w:p>
    <w:p w:rsidR="00ED0D34" w:rsidRPr="0060681F" w:rsidRDefault="00ED0D34" w:rsidP="00ED0D34">
      <w:pPr>
        <w:pStyle w:val="StandardowyStandardowy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Słownie: </w:t>
      </w:r>
    </w:p>
    <w:p w:rsidR="004E00E9" w:rsidRDefault="004E00E9"/>
    <w:sectPr w:rsidR="004E00E9" w:rsidSect="002A42CD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A7B3A"/>
    <w:multiLevelType w:val="hybridMultilevel"/>
    <w:tmpl w:val="D646F6F2"/>
    <w:lvl w:ilvl="0" w:tplc="DBE8F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833AD"/>
    <w:multiLevelType w:val="hybridMultilevel"/>
    <w:tmpl w:val="8E221AAA"/>
    <w:lvl w:ilvl="0" w:tplc="03DC633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D0D34"/>
    <w:rsid w:val="004E00E9"/>
    <w:rsid w:val="009B7249"/>
    <w:rsid w:val="00EA4AE0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33FF-B7C9-4F1A-84F9-68AD1F9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2">
    <w:name w:val="Standardowy.Standardowy12"/>
    <w:rsid w:val="00ED0D34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ED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wojtaan</dc:creator>
  <cp:lastModifiedBy>Joanna Stypińska</cp:lastModifiedBy>
  <cp:revision>3</cp:revision>
  <dcterms:created xsi:type="dcterms:W3CDTF">2023-01-19T10:12:00Z</dcterms:created>
  <dcterms:modified xsi:type="dcterms:W3CDTF">2023-01-19T10:12:00Z</dcterms:modified>
</cp:coreProperties>
</file>