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5B2BE6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</w:t>
      </w:r>
      <w:r w:rsidR="0067331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0</w:t>
      </w:r>
    </w:p>
    <w:p w:rsidR="00A62467" w:rsidRDefault="0067331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Odczynniki i sprzęt zużywalny do agregacji</w:t>
      </w:r>
    </w:p>
    <w:p w:rsidR="00673310" w:rsidRPr="00A62467" w:rsidRDefault="00673310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294E3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hideMark/>
          </w:tcPr>
          <w:p w:rsidR="008E0DB6" w:rsidRPr="00EF6414" w:rsidRDefault="008E0DB6" w:rsidP="008E0DB6">
            <w:r w:rsidRPr="00EF6414"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EF6414" w:rsidRDefault="008E0DB6" w:rsidP="008E0DB6">
            <w:pPr>
              <w:jc w:val="center"/>
            </w:pPr>
            <w:r w:rsidRPr="00EF6414">
              <w:t>Arachronic Acid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EF6414" w:rsidRDefault="008E0DB6" w:rsidP="008E0DB6">
            <w:pPr>
              <w:jc w:val="center"/>
            </w:pPr>
            <w:r w:rsidRPr="00EF6414">
              <w:t>390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EF6414" w:rsidRDefault="00BC5958" w:rsidP="008E0DB6">
            <w:pPr>
              <w:jc w:val="center"/>
            </w:pPr>
            <w:r>
              <w:t>1 szt.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EF6414" w:rsidRDefault="008E0DB6" w:rsidP="008E0DB6">
            <w:r w:rsidRPr="00EF6414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Default="008E0DB6" w:rsidP="008E0DB6">
            <w:pPr>
              <w:jc w:val="center"/>
            </w:pPr>
            <w:r w:rsidRPr="00EF6414">
              <w:t>6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2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ADP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384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BC5958" w:rsidP="008E0DB6">
            <w:pPr>
              <w:jc w:val="center"/>
            </w:pPr>
            <w:r>
              <w:t>1 szt.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3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Kolagen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385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804199" w:rsidP="008E0DB6">
            <w:pPr>
              <w:jc w:val="center"/>
            </w:pPr>
            <w:r>
              <w:t>1 szt.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4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Ristocetyna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396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804199" w:rsidP="008E0DB6">
            <w:pPr>
              <w:jc w:val="center"/>
            </w:pPr>
            <w:r>
              <w:t>1 szt.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5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Epinefryna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393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804199" w:rsidP="008E0DB6">
            <w:pPr>
              <w:jc w:val="center"/>
            </w:pPr>
            <w:r>
              <w:t>1 szt.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2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6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kuwetki szklane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312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804199" w:rsidP="008E0DB6">
            <w:pPr>
              <w:jc w:val="center"/>
            </w:pPr>
            <w:r>
              <w:t xml:space="preserve">144 </w:t>
            </w:r>
            <w:r w:rsidR="008E0DB6" w:rsidRPr="005D0403">
              <w:t>szt</w:t>
            </w:r>
            <w:r>
              <w:t>/ opk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F20539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0756EA" w:rsidRDefault="008E0DB6" w:rsidP="008E0DB6"/>
        </w:tc>
      </w:tr>
      <w:tr w:rsidR="008E0DB6" w:rsidRPr="005B2BE6" w:rsidTr="008E0DB6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7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</w:tcPr>
          <w:p w:rsidR="008E0DB6" w:rsidRPr="005D0403" w:rsidRDefault="008E0DB6" w:rsidP="008E0DB6">
            <w:pPr>
              <w:jc w:val="center"/>
            </w:pPr>
            <w:r w:rsidRPr="005D0403">
              <w:t>mieszadełka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pPr>
              <w:jc w:val="center"/>
            </w:pPr>
            <w:r w:rsidRPr="005D0403">
              <w:t>311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</w:tcPr>
          <w:p w:rsidR="008E0DB6" w:rsidRPr="005D0403" w:rsidRDefault="00804199" w:rsidP="008E0DB6">
            <w:pPr>
              <w:jc w:val="center"/>
            </w:pPr>
            <w:r>
              <w:t xml:space="preserve">144 </w:t>
            </w:r>
            <w:r w:rsidRPr="005D0403">
              <w:t>szt</w:t>
            </w:r>
            <w:r>
              <w:t xml:space="preserve">/ opk  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</w:tcPr>
          <w:p w:rsidR="008E0DB6" w:rsidRPr="005D0403" w:rsidRDefault="008E0DB6" w:rsidP="008E0DB6">
            <w:r w:rsidRPr="005D0403"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</w:tcPr>
          <w:p w:rsidR="008E0DB6" w:rsidRDefault="008E0DB6" w:rsidP="008E0DB6">
            <w:pPr>
              <w:jc w:val="center"/>
            </w:pPr>
            <w:r w:rsidRPr="005D0403">
              <w:t>10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8E0DB6" w:rsidRPr="005B2BE6" w:rsidRDefault="008E0DB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</w:tcPr>
          <w:p w:rsidR="008E0DB6" w:rsidRDefault="008E0DB6" w:rsidP="008E0DB6">
            <w:r w:rsidRPr="00F20539">
              <w:t>Biogenet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</w:tcPr>
          <w:p w:rsidR="008E0DB6" w:rsidRDefault="008E0DB6" w:rsidP="008E0DB6"/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B61441" w:rsidRPr="005B2BE6" w:rsidRDefault="00B61441" w:rsidP="00B6144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B61441" w:rsidRPr="00F0728F" w:rsidRDefault="00B61441" w:rsidP="00B61441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B61441" w:rsidRPr="00F0728F" w:rsidRDefault="00B61441" w:rsidP="00B61441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B61441" w:rsidRPr="00F0728F" w:rsidRDefault="00B61441" w:rsidP="00B6144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B61441" w:rsidRPr="00F0728F" w:rsidRDefault="00B61441" w:rsidP="00B6144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B61441" w:rsidRPr="00F0728F" w:rsidRDefault="00B61441" w:rsidP="00B61441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79200A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zaznaczenie jednej z pięciu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pozycji wskazanych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B809CB">
        <w:rPr>
          <w:rFonts w:ascii="Calibri" w:eastAsia="Times New Roman" w:hAnsi="Calibri" w:cs="Times New Roman"/>
          <w:b/>
          <w:sz w:val="20"/>
          <w:szCs w:val="20"/>
          <w:lang w:eastAsia="pl-PL"/>
        </w:rPr>
        <w:t>wanie terminu dostawy powyżej 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Default="005B2BE6" w:rsidP="00B61441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403739" w:rsidRPr="005B2BE6" w:rsidRDefault="00403739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sectPr w:rsidR="005B2BE6" w:rsidRP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B6" w:rsidRDefault="008E0DB6" w:rsidP="00A62467">
      <w:pPr>
        <w:spacing w:after="0" w:line="240" w:lineRule="auto"/>
      </w:pPr>
      <w:r>
        <w:separator/>
      </w:r>
    </w:p>
  </w:endnote>
  <w:end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B6" w:rsidRDefault="008E0DB6" w:rsidP="00A62467">
      <w:pPr>
        <w:spacing w:after="0" w:line="240" w:lineRule="auto"/>
      </w:pPr>
      <w:r>
        <w:separator/>
      </w:r>
    </w:p>
  </w:footnote>
  <w:footnote w:type="continuationSeparator" w:id="0">
    <w:p w:rsidR="008E0DB6" w:rsidRDefault="008E0DB6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DB6" w:rsidRDefault="008E0D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9451F"/>
    <w:rsid w:val="001E238F"/>
    <w:rsid w:val="00294E38"/>
    <w:rsid w:val="002E7A5F"/>
    <w:rsid w:val="002F4F17"/>
    <w:rsid w:val="00403739"/>
    <w:rsid w:val="00443A27"/>
    <w:rsid w:val="00555CF2"/>
    <w:rsid w:val="005B2BE6"/>
    <w:rsid w:val="006130B6"/>
    <w:rsid w:val="00673310"/>
    <w:rsid w:val="0079200A"/>
    <w:rsid w:val="00804199"/>
    <w:rsid w:val="00866322"/>
    <w:rsid w:val="008E0DB6"/>
    <w:rsid w:val="009B0430"/>
    <w:rsid w:val="00A00C3A"/>
    <w:rsid w:val="00A62467"/>
    <w:rsid w:val="00B61441"/>
    <w:rsid w:val="00B72432"/>
    <w:rsid w:val="00B809CB"/>
    <w:rsid w:val="00BC5958"/>
    <w:rsid w:val="00C16136"/>
    <w:rsid w:val="00D76562"/>
    <w:rsid w:val="00E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050B-6EE0-4B13-A90D-4A3AFBB2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2020-09-17T09:34:00Z</dcterms:created>
  <dcterms:modified xsi:type="dcterms:W3CDTF">2020-10-06T05:30:00Z</dcterms:modified>
</cp:coreProperties>
</file>