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4513F2" w:rsidRDefault="00FC142B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32</w:t>
      </w:r>
    </w:p>
    <w:p w:rsidR="00DB4E5F" w:rsidRDefault="00FC142B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FC142B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Testy mikrobiologiczne</w:t>
      </w:r>
    </w:p>
    <w:p w:rsidR="00FC142B" w:rsidRPr="00A62467" w:rsidRDefault="00FC142B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4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498"/>
        <w:gridCol w:w="1606"/>
        <w:gridCol w:w="1302"/>
        <w:gridCol w:w="494"/>
        <w:gridCol w:w="1735"/>
        <w:gridCol w:w="1322"/>
        <w:gridCol w:w="807"/>
        <w:gridCol w:w="1527"/>
        <w:gridCol w:w="1260"/>
        <w:gridCol w:w="2405"/>
      </w:tblGrid>
      <w:tr w:rsidR="005B2BE6" w:rsidRPr="005B2BE6" w:rsidTr="00FC142B">
        <w:trPr>
          <w:trHeight w:val="885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C22559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FC142B">
        <w:trPr>
          <w:trHeight w:val="330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065AEE" w:rsidRPr="005B2BE6" w:rsidTr="00FC142B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1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065AEE" w:rsidRPr="00CA77E4" w:rsidRDefault="00065AEE" w:rsidP="00065AEE">
            <w:pPr>
              <w:jc w:val="center"/>
            </w:pPr>
            <w:r w:rsidRPr="00CA77E4">
              <w:t>Test kasetkowy do wykrywania antygenu Campylobacter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N2403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25 ozn</w:t>
            </w:r>
          </w:p>
        </w:tc>
        <w:tc>
          <w:tcPr>
            <w:tcW w:w="16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80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065AEE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065AEE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065AEE" w:rsidRPr="00CE4F5E" w:rsidRDefault="00065AEE" w:rsidP="00065AEE">
            <w:pPr>
              <w:jc w:val="center"/>
            </w:pPr>
            <w:r w:rsidRPr="00CE4F5E">
              <w:t>Fabimex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065AEE" w:rsidRPr="005B2BE6" w:rsidTr="00FC142B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2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065AEE" w:rsidRPr="00CA77E4" w:rsidRDefault="00065AEE" w:rsidP="00065AEE">
            <w:pPr>
              <w:jc w:val="center"/>
            </w:pPr>
            <w:r w:rsidRPr="00CA77E4">
              <w:t>Test paskowy do jednoczesnego wykrywania antygenów Cryptosporidium/ Giardia /Entamoeba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N1722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25 ozn</w:t>
            </w:r>
          </w:p>
        </w:tc>
        <w:tc>
          <w:tcPr>
            <w:tcW w:w="16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16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065AEE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065AEE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065AEE" w:rsidRPr="00CE4F5E" w:rsidRDefault="00065AEE" w:rsidP="00065AEE">
            <w:pPr>
              <w:jc w:val="center"/>
            </w:pPr>
            <w:r w:rsidRPr="00CE4F5E">
              <w:t>Fabimex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065AEE" w:rsidRPr="005B2BE6" w:rsidTr="00FC142B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3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065AEE" w:rsidRPr="00CA77E4" w:rsidRDefault="00065AEE" w:rsidP="00065AEE">
            <w:pPr>
              <w:jc w:val="center"/>
            </w:pPr>
            <w:r w:rsidRPr="00CA77E4">
              <w:t>Test kasetkowy Rida QUICK Norowirus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N-1402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25 ozn</w:t>
            </w:r>
          </w:p>
        </w:tc>
        <w:tc>
          <w:tcPr>
            <w:tcW w:w="16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80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065AEE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065AEE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065AEE" w:rsidRPr="00CE4F5E" w:rsidRDefault="00065AEE" w:rsidP="00065AEE">
            <w:pPr>
              <w:jc w:val="center"/>
            </w:pPr>
            <w:r w:rsidRPr="00CE4F5E">
              <w:t>Fabimex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065AEE" w:rsidRPr="005B2BE6" w:rsidTr="00FC142B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5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065AEE" w:rsidRPr="00CA77E4" w:rsidRDefault="00065AEE" w:rsidP="00065AEE">
            <w:pPr>
              <w:jc w:val="center"/>
            </w:pPr>
            <w:r w:rsidRPr="00CA77E4">
              <w:t>Test kasetkowy Yersinia enterocolitica 0:3 + 0:9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YS882001V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20 ozn</w:t>
            </w:r>
          </w:p>
        </w:tc>
        <w:tc>
          <w:tcPr>
            <w:tcW w:w="16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  <w:r w:rsidRPr="00CA77E4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065AEE" w:rsidRDefault="00065AEE" w:rsidP="00065AEE">
            <w:pPr>
              <w:jc w:val="center"/>
            </w:pPr>
            <w:r w:rsidRPr="00CA77E4">
              <w:t>6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065AEE" w:rsidRPr="00CA77E4" w:rsidRDefault="00065AEE" w:rsidP="00065AEE">
            <w:pPr>
              <w:jc w:val="center"/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065AEE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065AEE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065AEE" w:rsidRDefault="00065AEE" w:rsidP="00065AEE">
            <w:pPr>
              <w:jc w:val="center"/>
            </w:pPr>
            <w:r w:rsidRPr="00CE4F5E">
              <w:t>Fabimex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065AEE" w:rsidRPr="005B2BE6" w:rsidRDefault="00065AEE" w:rsidP="00FC142B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C142B" w:rsidTr="00A575F0">
        <w:tblPrEx>
          <w:tblLook w:val="0000" w:firstRow="0" w:lastRow="0" w:firstColumn="0" w:lastColumn="0" w:noHBand="0" w:noVBand="0"/>
        </w:tblPrEx>
        <w:trPr>
          <w:trHeight w:val="316"/>
          <w:jc w:val="center"/>
        </w:trPr>
        <w:tc>
          <w:tcPr>
            <w:tcW w:w="5000" w:type="pct"/>
            <w:gridSpan w:val="11"/>
          </w:tcPr>
          <w:p w:rsidR="00D6799A" w:rsidRPr="00A575F0" w:rsidRDefault="00065AEE" w:rsidP="00FC142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A575F0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Dla pozycji 1 i 3 wymagana mikropipeta z wymiennymi końcówkami</w:t>
            </w:r>
            <w:r w:rsidR="00A575F0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D6799A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</w:p>
    <w:tbl>
      <w:tblPr>
        <w:tblW w:w="54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7"/>
        <w:gridCol w:w="3864"/>
        <w:gridCol w:w="1722"/>
        <w:gridCol w:w="3663"/>
      </w:tblGrid>
      <w:tr w:rsidR="006F7A42" w:rsidRPr="006F7A42" w:rsidTr="006F7A42">
        <w:trPr>
          <w:trHeight w:val="315"/>
          <w:jc w:val="center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6F7A4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RAZEM Cena brutto :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F7A42" w:rsidRPr="006F7A42" w:rsidRDefault="006F7A42" w:rsidP="006F7A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6799A" w:rsidRDefault="00D6799A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9F0984" w:rsidRPr="005B2BE6" w:rsidRDefault="009F0984" w:rsidP="009F098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9F0984" w:rsidRPr="00F0728F" w:rsidRDefault="009F0984" w:rsidP="009F0984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9F0984" w:rsidRPr="00F0728F" w:rsidRDefault="009F0984" w:rsidP="009F0984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9F0984" w:rsidRPr="00F0728F" w:rsidRDefault="009F0984" w:rsidP="009F0984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9F0984" w:rsidRPr="00F0728F" w:rsidRDefault="009F0984" w:rsidP="009F0984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9F0984" w:rsidRPr="00F0728F" w:rsidRDefault="009F0984" w:rsidP="009F0984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443A27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 xml:space="preserve">zaznaczenie </w:t>
      </w:r>
      <w:r w:rsidR="00CE2E11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DF5C72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664DEA" w:rsidRPr="005B2BE6" w:rsidRDefault="00664DEA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Default="005B2BE6" w:rsidP="006F7A42">
      <w:pPr>
        <w:spacing w:after="0" w:line="240" w:lineRule="auto"/>
        <w:jc w:val="center"/>
      </w:pPr>
    </w:p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65AEE"/>
    <w:rsid w:val="0019451F"/>
    <w:rsid w:val="001E238F"/>
    <w:rsid w:val="002F4F17"/>
    <w:rsid w:val="00403739"/>
    <w:rsid w:val="00443A27"/>
    <w:rsid w:val="004513F2"/>
    <w:rsid w:val="00555CF2"/>
    <w:rsid w:val="005B2BE6"/>
    <w:rsid w:val="006130B6"/>
    <w:rsid w:val="00664DEA"/>
    <w:rsid w:val="006F7A42"/>
    <w:rsid w:val="00877D8C"/>
    <w:rsid w:val="009B0430"/>
    <w:rsid w:val="009F0984"/>
    <w:rsid w:val="00A00C3A"/>
    <w:rsid w:val="00A575F0"/>
    <w:rsid w:val="00A62467"/>
    <w:rsid w:val="00B72432"/>
    <w:rsid w:val="00C16136"/>
    <w:rsid w:val="00C22559"/>
    <w:rsid w:val="00CE2E11"/>
    <w:rsid w:val="00D6799A"/>
    <w:rsid w:val="00DB4E5F"/>
    <w:rsid w:val="00DF5C72"/>
    <w:rsid w:val="00E41A03"/>
    <w:rsid w:val="00F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24</cp:revision>
  <dcterms:created xsi:type="dcterms:W3CDTF">2020-09-17T09:34:00Z</dcterms:created>
  <dcterms:modified xsi:type="dcterms:W3CDTF">2020-10-06T05:35:00Z</dcterms:modified>
</cp:coreProperties>
</file>